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0415C" w14:textId="77777777" w:rsidR="00533E31" w:rsidRDefault="00533E31" w:rsidP="00C825A5">
      <w:pPr>
        <w:ind w:right="180"/>
      </w:pPr>
      <w:r>
        <w:t>In literature, authors use</w:t>
      </w:r>
      <w:r w:rsidRPr="00863A9B">
        <w:rPr>
          <w:bCs/>
        </w:rPr>
        <w:t xml:space="preserve"> symbols</w:t>
      </w:r>
      <w:r>
        <w:t xml:space="preserve"> to represent different qualities or ideas without stating what they mean outright. For example, a beam of sunlight could symbolize hope, while a rain cloud could symbolize incoming danger.</w:t>
      </w:r>
    </w:p>
    <w:p w14:paraId="6389316A" w14:textId="2F884150" w:rsidR="007932B2" w:rsidRPr="009567FC" w:rsidRDefault="00533E31" w:rsidP="00C825A5">
      <w:pPr>
        <w:spacing w:after="120"/>
        <w:ind w:right="180"/>
      </w:pPr>
      <w:r>
        <w:t xml:space="preserve">Look for the symbols in this chart in </w:t>
      </w:r>
      <w:r w:rsidRPr="008B46B5">
        <w:rPr>
          <w:i/>
        </w:rPr>
        <w:t>1984</w:t>
      </w:r>
      <w:r>
        <w:t>. Explain the meaning of each symbol, and then answer the question about how these symbols shape the story.</w:t>
      </w:r>
    </w:p>
    <w:tbl>
      <w:tblPr>
        <w:tblStyle w:val="TableGrid"/>
        <w:tblW w:w="9540" w:type="dxa"/>
        <w:tblInd w:w="-185" w:type="dxa"/>
        <w:tblLook w:val="00A0" w:firstRow="1" w:lastRow="0" w:firstColumn="1" w:lastColumn="0" w:noHBand="0" w:noVBand="0"/>
      </w:tblPr>
      <w:tblGrid>
        <w:gridCol w:w="2250"/>
        <w:gridCol w:w="7290"/>
      </w:tblGrid>
      <w:tr w:rsidR="007669E3" w14:paraId="2D383682" w14:textId="77777777" w:rsidTr="00EE5266">
        <w:trPr>
          <w:trHeight w:val="448"/>
        </w:trPr>
        <w:tc>
          <w:tcPr>
            <w:tcW w:w="225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2139AE5D" w14:textId="4D76F5A3" w:rsidR="007669E3" w:rsidRPr="000B09C6" w:rsidRDefault="007669E3" w:rsidP="00C825A5">
            <w:pPr>
              <w:pStyle w:val="ChartHead"/>
              <w:spacing w:before="120"/>
              <w:ind w:right="180"/>
            </w:pPr>
            <w:bookmarkStart w:id="0" w:name="_GoBack"/>
            <w:r>
              <w:t>Symbol</w:t>
            </w:r>
          </w:p>
        </w:tc>
        <w:tc>
          <w:tcPr>
            <w:tcW w:w="7290" w:type="dxa"/>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147ACD"/>
            <w:tcMar>
              <w:top w:w="86" w:type="dxa"/>
              <w:left w:w="115" w:type="dxa"/>
              <w:right w:w="115" w:type="dxa"/>
            </w:tcMar>
          </w:tcPr>
          <w:p w14:paraId="3CE2ED1E" w14:textId="6FF85D4E" w:rsidR="007669E3" w:rsidRPr="000B09C6" w:rsidRDefault="007669E3" w:rsidP="00C825A5">
            <w:pPr>
              <w:pStyle w:val="ChartHead"/>
              <w:spacing w:before="120"/>
              <w:ind w:right="180"/>
            </w:pPr>
            <w:r>
              <w:t>What It Means</w:t>
            </w:r>
          </w:p>
        </w:tc>
      </w:tr>
      <w:bookmarkEnd w:id="0"/>
      <w:tr w:rsidR="007669E3" w14:paraId="1ACA98B9" w14:textId="77777777" w:rsidTr="00EE5266">
        <w:tblPrEx>
          <w:tblLook w:val="04A0" w:firstRow="1" w:lastRow="0" w:firstColumn="1" w:lastColumn="0" w:noHBand="0" w:noVBand="1"/>
        </w:tblPrEx>
        <w:trPr>
          <w:trHeight w:val="1224"/>
        </w:trPr>
        <w:tc>
          <w:tcPr>
            <w:tcW w:w="2250" w:type="dxa"/>
            <w:shd w:val="clear" w:color="auto" w:fill="005B9D"/>
          </w:tcPr>
          <w:p w14:paraId="608FD7A4" w14:textId="09BDA8AC" w:rsidR="007669E3" w:rsidRPr="007669E3" w:rsidRDefault="007669E3" w:rsidP="00C825A5">
            <w:pPr>
              <w:pStyle w:val="ChartText"/>
              <w:spacing w:before="120"/>
              <w:ind w:right="180"/>
              <w:rPr>
                <w:rFonts w:ascii="Raleway ExtraBold" w:hAnsi="Raleway ExtraBold"/>
                <w:b/>
                <w:bCs/>
                <w:color w:val="FFFFFF" w:themeColor="background1"/>
                <w:sz w:val="22"/>
                <w:szCs w:val="22"/>
              </w:rPr>
            </w:pPr>
            <w:r w:rsidRPr="007669E3">
              <w:rPr>
                <w:rFonts w:ascii="Raleway ExtraBold" w:hAnsi="Raleway ExtraBold"/>
                <w:b/>
                <w:bCs/>
                <w:color w:val="FFFFFF" w:themeColor="background1"/>
                <w:sz w:val="22"/>
                <w:szCs w:val="22"/>
              </w:rPr>
              <w:t>the telescreens</w:t>
            </w:r>
          </w:p>
        </w:tc>
        <w:tc>
          <w:tcPr>
            <w:tcW w:w="7290" w:type="dxa"/>
          </w:tcPr>
          <w:p w14:paraId="0950942F" w14:textId="3ECBB849" w:rsidR="007669E3" w:rsidRPr="002723E1" w:rsidRDefault="0056596D" w:rsidP="0044379A">
            <w:pPr>
              <w:pStyle w:val="ChartSampleAnswer"/>
              <w:framePr w:wrap="around"/>
            </w:pPr>
            <w:r w:rsidRPr="002723E1">
              <w:t>the sense of constant surveillance; no privacy</w:t>
            </w:r>
          </w:p>
        </w:tc>
      </w:tr>
      <w:tr w:rsidR="007669E3" w14:paraId="3B1EF19C" w14:textId="77777777" w:rsidTr="00EE5266">
        <w:tblPrEx>
          <w:tblLook w:val="04A0" w:firstRow="1" w:lastRow="0" w:firstColumn="1" w:lastColumn="0" w:noHBand="0" w:noVBand="1"/>
        </w:tblPrEx>
        <w:trPr>
          <w:trHeight w:val="1224"/>
        </w:trPr>
        <w:tc>
          <w:tcPr>
            <w:tcW w:w="2250" w:type="dxa"/>
            <w:shd w:val="clear" w:color="auto" w:fill="005B9D"/>
          </w:tcPr>
          <w:p w14:paraId="033BFCCC" w14:textId="4BFC869B" w:rsidR="007669E3" w:rsidRPr="007669E3" w:rsidRDefault="007669E3" w:rsidP="00C825A5">
            <w:pPr>
              <w:pStyle w:val="ChartText"/>
              <w:spacing w:before="120"/>
              <w:ind w:right="180"/>
              <w:rPr>
                <w:rFonts w:ascii="Raleway ExtraBold" w:hAnsi="Raleway ExtraBold"/>
                <w:b/>
                <w:bCs/>
                <w:color w:val="FFFFFF" w:themeColor="background1"/>
                <w:sz w:val="22"/>
                <w:szCs w:val="22"/>
              </w:rPr>
            </w:pPr>
            <w:r w:rsidRPr="007669E3">
              <w:rPr>
                <w:rFonts w:ascii="Raleway ExtraBold" w:hAnsi="Raleway ExtraBold"/>
                <w:b/>
                <w:bCs/>
                <w:color w:val="FFFFFF" w:themeColor="background1"/>
                <w:sz w:val="22"/>
                <w:szCs w:val="22"/>
              </w:rPr>
              <w:t>Big Brother</w:t>
            </w:r>
          </w:p>
        </w:tc>
        <w:tc>
          <w:tcPr>
            <w:tcW w:w="7290" w:type="dxa"/>
          </w:tcPr>
          <w:p w14:paraId="2F5DC36D" w14:textId="77777777" w:rsidR="007669E3" w:rsidRPr="00F46148" w:rsidRDefault="007669E3" w:rsidP="0044379A">
            <w:pPr>
              <w:pStyle w:val="ChartSampleAnswer"/>
              <w:framePr w:wrap="around"/>
            </w:pPr>
          </w:p>
        </w:tc>
      </w:tr>
      <w:tr w:rsidR="007669E3" w14:paraId="05C4C8FD" w14:textId="77777777" w:rsidTr="00EE5266">
        <w:tblPrEx>
          <w:tblLook w:val="04A0" w:firstRow="1" w:lastRow="0" w:firstColumn="1" w:lastColumn="0" w:noHBand="0" w:noVBand="1"/>
        </w:tblPrEx>
        <w:trPr>
          <w:trHeight w:val="1224"/>
        </w:trPr>
        <w:tc>
          <w:tcPr>
            <w:tcW w:w="2250" w:type="dxa"/>
            <w:shd w:val="clear" w:color="auto" w:fill="005B9D"/>
          </w:tcPr>
          <w:p w14:paraId="72B1BFD9" w14:textId="31C4C406" w:rsidR="007669E3" w:rsidRPr="007669E3" w:rsidRDefault="007669E3" w:rsidP="00C825A5">
            <w:pPr>
              <w:pStyle w:val="ChartText"/>
              <w:spacing w:before="120"/>
              <w:ind w:right="180"/>
              <w:rPr>
                <w:rFonts w:ascii="Raleway ExtraBold" w:hAnsi="Raleway ExtraBold"/>
                <w:b/>
                <w:bCs/>
                <w:color w:val="FFFFFF" w:themeColor="background1"/>
                <w:sz w:val="22"/>
                <w:szCs w:val="22"/>
              </w:rPr>
            </w:pPr>
            <w:r w:rsidRPr="007669E3">
              <w:rPr>
                <w:rFonts w:ascii="Raleway ExtraBold" w:hAnsi="Raleway ExtraBold"/>
                <w:b/>
                <w:bCs/>
                <w:color w:val="FFFFFF" w:themeColor="background1"/>
                <w:sz w:val="22"/>
                <w:szCs w:val="22"/>
              </w:rPr>
              <w:t>memory holes</w:t>
            </w:r>
          </w:p>
        </w:tc>
        <w:tc>
          <w:tcPr>
            <w:tcW w:w="7290" w:type="dxa"/>
          </w:tcPr>
          <w:p w14:paraId="2819EDCE" w14:textId="77777777" w:rsidR="007669E3" w:rsidRPr="00F46148" w:rsidRDefault="007669E3" w:rsidP="0044379A">
            <w:pPr>
              <w:pStyle w:val="ChartSampleAnswer"/>
              <w:framePr w:wrap="around"/>
            </w:pPr>
          </w:p>
        </w:tc>
      </w:tr>
      <w:tr w:rsidR="007669E3" w14:paraId="60CCCD04" w14:textId="77777777" w:rsidTr="00EE5266">
        <w:tblPrEx>
          <w:tblLook w:val="04A0" w:firstRow="1" w:lastRow="0" w:firstColumn="1" w:lastColumn="0" w:noHBand="0" w:noVBand="1"/>
        </w:tblPrEx>
        <w:trPr>
          <w:trHeight w:val="1224"/>
        </w:trPr>
        <w:tc>
          <w:tcPr>
            <w:tcW w:w="2250" w:type="dxa"/>
            <w:shd w:val="clear" w:color="auto" w:fill="005B9D"/>
          </w:tcPr>
          <w:p w14:paraId="25D72476" w14:textId="64A0DA3E" w:rsidR="007669E3" w:rsidRPr="007669E3" w:rsidRDefault="007669E3" w:rsidP="00C825A5">
            <w:pPr>
              <w:pStyle w:val="ChartText"/>
              <w:spacing w:before="120"/>
              <w:ind w:right="180"/>
              <w:rPr>
                <w:rFonts w:ascii="Raleway ExtraBold" w:hAnsi="Raleway ExtraBold"/>
                <w:b/>
                <w:bCs/>
                <w:color w:val="FFFFFF" w:themeColor="background1"/>
                <w:sz w:val="22"/>
                <w:szCs w:val="22"/>
              </w:rPr>
            </w:pPr>
            <w:r w:rsidRPr="007669E3">
              <w:rPr>
                <w:rFonts w:ascii="Raleway ExtraBold" w:hAnsi="Raleway ExtraBold"/>
                <w:b/>
                <w:bCs/>
                <w:color w:val="FFFFFF" w:themeColor="background1"/>
                <w:sz w:val="22"/>
                <w:szCs w:val="22"/>
              </w:rPr>
              <w:t>Julia’s sash</w:t>
            </w:r>
          </w:p>
        </w:tc>
        <w:tc>
          <w:tcPr>
            <w:tcW w:w="7290" w:type="dxa"/>
          </w:tcPr>
          <w:p w14:paraId="499E8122" w14:textId="77777777" w:rsidR="007669E3" w:rsidRPr="00F46148" w:rsidRDefault="007669E3" w:rsidP="0044379A">
            <w:pPr>
              <w:pStyle w:val="ChartSampleAnswer"/>
              <w:framePr w:wrap="around"/>
            </w:pPr>
          </w:p>
        </w:tc>
      </w:tr>
      <w:tr w:rsidR="007669E3" w14:paraId="73D82D3A" w14:textId="77777777" w:rsidTr="00EE5266">
        <w:tblPrEx>
          <w:tblLook w:val="04A0" w:firstRow="1" w:lastRow="0" w:firstColumn="1" w:lastColumn="0" w:noHBand="0" w:noVBand="1"/>
        </w:tblPrEx>
        <w:trPr>
          <w:trHeight w:val="1224"/>
        </w:trPr>
        <w:tc>
          <w:tcPr>
            <w:tcW w:w="2250" w:type="dxa"/>
            <w:shd w:val="clear" w:color="auto" w:fill="005B9D"/>
          </w:tcPr>
          <w:p w14:paraId="6DC979AD" w14:textId="09E161FB" w:rsidR="007669E3" w:rsidRPr="007669E3" w:rsidRDefault="007669E3" w:rsidP="00C825A5">
            <w:pPr>
              <w:pStyle w:val="ChartText"/>
              <w:spacing w:before="120"/>
              <w:ind w:right="180"/>
              <w:rPr>
                <w:rFonts w:ascii="Raleway ExtraBold" w:hAnsi="Raleway ExtraBold"/>
                <w:b/>
                <w:bCs/>
                <w:color w:val="FFFFFF" w:themeColor="background1"/>
                <w:sz w:val="22"/>
                <w:szCs w:val="22"/>
              </w:rPr>
            </w:pPr>
            <w:r w:rsidRPr="007669E3">
              <w:rPr>
                <w:rFonts w:ascii="Raleway ExtraBold" w:hAnsi="Raleway ExtraBold"/>
                <w:b/>
                <w:bCs/>
                <w:color w:val="FFFFFF" w:themeColor="background1"/>
                <w:sz w:val="22"/>
                <w:szCs w:val="22"/>
              </w:rPr>
              <w:t>the proles</w:t>
            </w:r>
          </w:p>
        </w:tc>
        <w:tc>
          <w:tcPr>
            <w:tcW w:w="7290" w:type="dxa"/>
          </w:tcPr>
          <w:p w14:paraId="654DC700" w14:textId="77777777" w:rsidR="007669E3" w:rsidRPr="00F46148" w:rsidRDefault="007669E3" w:rsidP="0044379A">
            <w:pPr>
              <w:pStyle w:val="ChartSampleAnswer"/>
              <w:framePr w:wrap="around"/>
            </w:pPr>
          </w:p>
        </w:tc>
      </w:tr>
      <w:tr w:rsidR="007669E3" w14:paraId="2BFBD9FA" w14:textId="77777777" w:rsidTr="00EE5266">
        <w:tblPrEx>
          <w:tblLook w:val="04A0" w:firstRow="1" w:lastRow="0" w:firstColumn="1" w:lastColumn="0" w:noHBand="0" w:noVBand="1"/>
        </w:tblPrEx>
        <w:trPr>
          <w:trHeight w:val="1224"/>
        </w:trPr>
        <w:tc>
          <w:tcPr>
            <w:tcW w:w="2250" w:type="dxa"/>
            <w:shd w:val="clear" w:color="auto" w:fill="005B9D"/>
          </w:tcPr>
          <w:p w14:paraId="58CBC240" w14:textId="26788B6A" w:rsidR="007669E3" w:rsidRPr="007669E3" w:rsidRDefault="007669E3" w:rsidP="00C825A5">
            <w:pPr>
              <w:pStyle w:val="ChartText"/>
              <w:spacing w:before="120"/>
              <w:ind w:right="180"/>
              <w:rPr>
                <w:rFonts w:ascii="Raleway ExtraBold" w:hAnsi="Raleway ExtraBold"/>
                <w:b/>
                <w:bCs/>
                <w:color w:val="FFFFFF" w:themeColor="background1"/>
                <w:sz w:val="22"/>
                <w:szCs w:val="22"/>
              </w:rPr>
            </w:pPr>
            <w:r w:rsidRPr="007669E3">
              <w:rPr>
                <w:rFonts w:ascii="Raleway ExtraBold" w:hAnsi="Raleway ExtraBold"/>
                <w:b/>
                <w:bCs/>
                <w:color w:val="FFFFFF" w:themeColor="background1"/>
                <w:sz w:val="22"/>
                <w:szCs w:val="22"/>
              </w:rPr>
              <w:t>the paperweight</w:t>
            </w:r>
          </w:p>
        </w:tc>
        <w:tc>
          <w:tcPr>
            <w:tcW w:w="7290" w:type="dxa"/>
          </w:tcPr>
          <w:p w14:paraId="1BE7F056" w14:textId="77777777" w:rsidR="007669E3" w:rsidRPr="00F46148" w:rsidRDefault="007669E3" w:rsidP="0044379A">
            <w:pPr>
              <w:pStyle w:val="ChartSampleAnswer"/>
              <w:framePr w:wrap="around"/>
            </w:pPr>
          </w:p>
        </w:tc>
      </w:tr>
      <w:tr w:rsidR="007669E3" w14:paraId="4FA80C16" w14:textId="77777777" w:rsidTr="00EE5266">
        <w:tblPrEx>
          <w:tblLook w:val="04A0" w:firstRow="1" w:lastRow="0" w:firstColumn="1" w:lastColumn="0" w:noHBand="0" w:noVBand="1"/>
        </w:tblPrEx>
        <w:trPr>
          <w:trHeight w:val="1224"/>
        </w:trPr>
        <w:tc>
          <w:tcPr>
            <w:tcW w:w="2250" w:type="dxa"/>
            <w:shd w:val="clear" w:color="auto" w:fill="005B9D"/>
          </w:tcPr>
          <w:p w14:paraId="1E9C6175" w14:textId="798921F1" w:rsidR="007669E3" w:rsidRPr="007669E3" w:rsidRDefault="007669E3" w:rsidP="00C825A5">
            <w:pPr>
              <w:pStyle w:val="ChartText"/>
              <w:spacing w:before="120"/>
              <w:ind w:right="180"/>
              <w:rPr>
                <w:rFonts w:ascii="Raleway ExtraBold" w:hAnsi="Raleway ExtraBold"/>
                <w:b/>
                <w:bCs/>
                <w:color w:val="FFFFFF" w:themeColor="background1"/>
                <w:sz w:val="22"/>
                <w:szCs w:val="22"/>
              </w:rPr>
            </w:pPr>
            <w:r w:rsidRPr="007669E3">
              <w:rPr>
                <w:rFonts w:ascii="Raleway ExtraBold" w:hAnsi="Raleway ExtraBold"/>
                <w:b/>
                <w:bCs/>
                <w:color w:val="FFFFFF" w:themeColor="background1"/>
                <w:sz w:val="22"/>
                <w:szCs w:val="22"/>
              </w:rPr>
              <w:t>Goldstein</w:t>
            </w:r>
          </w:p>
        </w:tc>
        <w:tc>
          <w:tcPr>
            <w:tcW w:w="7290" w:type="dxa"/>
          </w:tcPr>
          <w:p w14:paraId="7053887D" w14:textId="77777777" w:rsidR="007669E3" w:rsidRPr="00F46148" w:rsidRDefault="007669E3" w:rsidP="0044379A">
            <w:pPr>
              <w:pStyle w:val="ChartSampleAnswer"/>
              <w:framePr w:wrap="around"/>
            </w:pPr>
          </w:p>
        </w:tc>
      </w:tr>
    </w:tbl>
    <w:p w14:paraId="7DF3A1F7" w14:textId="77777777" w:rsidR="00260847" w:rsidRDefault="00260847" w:rsidP="00C825A5">
      <w:pPr>
        <w:spacing w:after="0"/>
        <w:ind w:left="0" w:right="180"/>
      </w:pPr>
    </w:p>
    <w:p w14:paraId="1273DBB3" w14:textId="65BB1A76" w:rsidR="00F91610" w:rsidRDefault="0044379A" w:rsidP="00C825A5">
      <w:pPr>
        <w:ind w:right="180"/>
      </w:pPr>
      <w:r>
        <w:rPr>
          <w:noProof/>
        </w:rPr>
        <mc:AlternateContent>
          <mc:Choice Requires="wps">
            <w:drawing>
              <wp:anchor distT="0" distB="0" distL="114300" distR="114300" simplePos="0" relativeHeight="251708416" behindDoc="0" locked="0" layoutInCell="1" allowOverlap="1" wp14:anchorId="61EB25CF" wp14:editId="10711F2B">
                <wp:simplePos x="0" y="0"/>
                <wp:positionH relativeFrom="column">
                  <wp:posOffset>-88900</wp:posOffset>
                </wp:positionH>
                <wp:positionV relativeFrom="paragraph">
                  <wp:posOffset>389255</wp:posOffset>
                </wp:positionV>
                <wp:extent cx="5905500" cy="393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05500" cy="393700"/>
                        </a:xfrm>
                        <a:prstGeom prst="rect">
                          <a:avLst/>
                        </a:prstGeom>
                        <a:noFill/>
                        <a:ln w="6350">
                          <a:noFill/>
                        </a:ln>
                      </wps:spPr>
                      <wps:txbx>
                        <w:txbxContent>
                          <w:p w14:paraId="1835ECA4" w14:textId="13346002" w:rsidR="00DE05E2" w:rsidRPr="00E1565C" w:rsidRDefault="00100358" w:rsidP="00E1565C">
                            <w:pPr>
                              <w:pStyle w:val="Standards"/>
                            </w:pPr>
                            <w:r w:rsidRPr="00E1565C">
                              <w:t>RL.11-12.3 Analyze the impact of the author's choices regarding how to develop and relate elements of a story or drama (e.g., where a story is set, how the action is ordered, how the characters are introduced and developed).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B25CF" id="_x0000_t202" coordsize="21600,21600" o:spt="202" path="m,l,21600r21600,l21600,xe">
                <v:stroke joinstyle="miter"/>
                <v:path gradientshapeok="t" o:connecttype="rect"/>
              </v:shapetype>
              <v:shape id="Text Box 2" o:spid="_x0000_s1026" type="#_x0000_t202" style="position:absolute;left:0;text-align:left;margin-left:-7pt;margin-top:30.65pt;width:465pt;height:3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" filled="f" stroked="f" strokeweight=".5pt">
                <v:textbox>
                  <w:txbxContent>
                    <w:p w14:paraId="1835ECA4" w14:textId="13346002" w:rsidR="00DE05E2" w:rsidRPr="00E1565C" w:rsidRDefault="00100358" w:rsidP="00E1565C">
                      <w:pPr>
                        <w:pStyle w:val="Standards"/>
                      </w:pPr>
                      <w:r w:rsidRPr="00E1565C">
                        <w:t>RL.11-12.3 Analyze the impact of the author's choices regarding how to develop and relate elements of a story or drama (e.g., where a story is set, how the action is ordered, how the characters are introduced and developed).</w:t>
                      </w:r>
                    </w:p>
                  </w:txbxContent>
                </v:textbox>
              </v:shape>
            </w:pict>
          </mc:Fallback>
        </mc:AlternateContent>
      </w:r>
      <w:r w:rsidR="00C825A5">
        <w:rPr>
          <w:noProof/>
        </w:rPr>
        <mc:AlternateContent>
          <mc:Choice Requires="wps">
            <w:drawing>
              <wp:anchor distT="0" distB="0" distL="114300" distR="114300" simplePos="0" relativeHeight="251709440" behindDoc="1" locked="0" layoutInCell="1" allowOverlap="1" wp14:anchorId="1631487A" wp14:editId="7BF7AF6C">
                <wp:simplePos x="0" y="0"/>
                <wp:positionH relativeFrom="column">
                  <wp:posOffset>-152400</wp:posOffset>
                </wp:positionH>
                <wp:positionV relativeFrom="paragraph">
                  <wp:posOffset>366786</wp:posOffset>
                </wp:positionV>
                <wp:extent cx="6099712" cy="419100"/>
                <wp:effectExtent l="0" t="0" r="9525" b="12700"/>
                <wp:wrapNone/>
                <wp:docPr id="3" name="Rounded Rectangle 3"/>
                <wp:cNvGraphicFramePr/>
                <a:graphic xmlns:a="http://schemas.openxmlformats.org/drawingml/2006/main">
                  <a:graphicData uri="http://schemas.microsoft.com/office/word/2010/wordprocessingShape">
                    <wps:wsp>
                      <wps:cNvSpPr/>
                      <wps:spPr>
                        <a:xfrm>
                          <a:off x="0" y="0"/>
                          <a:ext cx="6099712" cy="4191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563C2" id="Rounded Rectangle 3" o:spid="_x0000_s1026" style="position:absolute;margin-left:-12pt;margin-top:28.9pt;width:480.3pt;height:33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" fillcolor="#8f1f8e" strokecolor="#8f1f8e" strokeweight="1pt">
                <v:fill opacity="4626f"/>
                <v:stroke opacity="19789f"/>
              </v:roundrect>
            </w:pict>
          </mc:Fallback>
        </mc:AlternateContent>
      </w:r>
      <w:r w:rsidR="00260847">
        <w:t>How do these symbols help you understand a central message of the novel?</w:t>
      </w:r>
      <w:r w:rsidR="00DE05E2" w:rsidRPr="009567FC">
        <w:br/>
      </w:r>
    </w:p>
    <w:p w14:paraId="35D48EA8" w14:textId="2CAF26E5" w:rsidR="007630D9" w:rsidRDefault="007630D9" w:rsidP="00FA606A"/>
    <w:p w14:paraId="331FA8D3" w14:textId="77777777" w:rsidR="007B7152" w:rsidRPr="002607EE" w:rsidRDefault="00650A6E" w:rsidP="00C825A5">
      <w:pPr>
        <w:pStyle w:val="Heading2"/>
      </w:pPr>
      <w:sdt>
        <w:sdtPr>
          <w:tag w:val="goog_rdk_0"/>
          <w:id w:val="1337116541"/>
          <w:showingPlcHdr/>
        </w:sdtPr>
        <w:sdtEndPr/>
        <w:sdtContent>
          <w:r w:rsidR="007B7152" w:rsidRPr="002607EE">
            <w:t xml:space="preserve">     </w:t>
          </w:r>
        </w:sdtContent>
      </w:sdt>
      <w:r w:rsidR="007B7152" w:rsidRPr="002607EE">
        <w:t>Answer Key</w:t>
      </w:r>
      <w:r w:rsidR="007B7152" w:rsidRPr="002607EE">
        <w:tab/>
      </w:r>
    </w:p>
    <w:p w14:paraId="609C65AA" w14:textId="77777777" w:rsidR="007B7152" w:rsidRPr="00262826" w:rsidRDefault="007B7152" w:rsidP="007B7152">
      <w:pPr>
        <w:spacing w:after="0"/>
        <w:rPr>
          <w:lang w:val="en-GB" w:eastAsia="en-GB"/>
        </w:rPr>
      </w:pPr>
    </w:p>
    <w:p w14:paraId="1E3DC3E8" w14:textId="77777777" w:rsidR="003A6AD8" w:rsidRPr="00863A9B" w:rsidRDefault="003A6AD8" w:rsidP="00C825A5">
      <w:pPr>
        <w:ind w:right="80"/>
      </w:pPr>
      <w:r>
        <w:t>Sample Answer</w:t>
      </w:r>
    </w:p>
    <w:p w14:paraId="72AC968E" w14:textId="1FB7E43D" w:rsidR="003A6AD8" w:rsidRPr="00565258" w:rsidRDefault="003A6AD8" w:rsidP="0044379A">
      <w:pPr>
        <w:pStyle w:val="ChartSampleAnswer"/>
        <w:framePr w:wrap="around"/>
      </w:pPr>
      <w:r w:rsidRPr="00565258">
        <w:t>Taken together, the telescreens and Big Brother convey how monitored and controlled everyone in Oceania is. Even within the novel, Winston believes Big Brother is a symbol and not an actual person. However, the Party acts as though the telescreens and Big Brother are a source of protection and not control. The proles and the paperweight symbolize that even though the Party wants its members to forget the past, there is still some evidence of how life used to be</w:t>
      </w:r>
      <w:r w:rsidR="007F7F84" w:rsidRPr="00565258">
        <w:t xml:space="preserve">. </w:t>
      </w:r>
      <w:r w:rsidRPr="00565258">
        <w:t>The memory holes also symbolize how brazen the Party is in wanting people</w:t>
      </w:r>
      <w:r w:rsidR="00565258">
        <w:t xml:space="preserve"> </w:t>
      </w:r>
      <w:r w:rsidRPr="00565258">
        <w:t xml:space="preserve">to forget any information that makes the Party look bad. Julia’s sash and Goldstein are both reminders that there is </w:t>
      </w:r>
      <w:r w:rsidRPr="0044379A">
        <w:t>opposition</w:t>
      </w:r>
      <w:r w:rsidRPr="00565258">
        <w:t xml:space="preserve"> to the Party, both within it and outside it. These symbols all help convey the author’s message that, as in all totalitarian societies, even though the Party has full control over Oceania, it still</w:t>
      </w:r>
      <w:r w:rsidR="00565258">
        <w:t xml:space="preserve"> </w:t>
      </w:r>
      <w:r w:rsidRPr="00565258">
        <w:t>fears the memories and backlash of its people.</w:t>
      </w:r>
    </w:p>
    <w:p w14:paraId="429152CE" w14:textId="2C081B27" w:rsidR="003A6AD8" w:rsidRDefault="003A6AD8" w:rsidP="003A6AD8">
      <w:r>
        <w:t>How do these symbols help you understand a central message of the novel?</w:t>
      </w:r>
    </w:p>
    <w:p w14:paraId="6E6D8CE1" w14:textId="77777777" w:rsidR="003A6AD8" w:rsidRDefault="003A6AD8" w:rsidP="0044379A">
      <w:pPr>
        <w:pStyle w:val="ChartSampleAnswer"/>
        <w:framePr w:wrap="around"/>
      </w:pPr>
    </w:p>
    <w:sectPr w:rsidR="003A6AD8" w:rsidSect="00874E75">
      <w:headerReference w:type="even" r:id="rId7"/>
      <w:headerReference w:type="default" r:id="rId8"/>
      <w:footerReference w:type="even" r:id="rId9"/>
      <w:footerReference w:type="default" r:id="rId10"/>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A4B14" w14:textId="77777777" w:rsidR="00650A6E" w:rsidRDefault="00650A6E" w:rsidP="000D72AE">
      <w:r>
        <w:separator/>
      </w:r>
    </w:p>
  </w:endnote>
  <w:endnote w:type="continuationSeparator" w:id="0">
    <w:p w14:paraId="20459CAC" w14:textId="77777777" w:rsidR="00650A6E" w:rsidRDefault="00650A6E"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ektonPro-Regular">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EB16EFA" w:rsidR="00874E75" w:rsidRDefault="000972BE" w:rsidP="000D72AE">
    <w:pPr>
      <w:pStyle w:val="Footer"/>
    </w:pPr>
    <w:r w:rsidRPr="000972BE">
      <w:rPr>
        <w:noProof/>
      </w:rPr>
      <mc:AlternateContent>
        <mc:Choice Requires="wps">
          <w:drawing>
            <wp:anchor distT="0" distB="0" distL="114300" distR="114300" simplePos="0" relativeHeight="251678720" behindDoc="1" locked="0" layoutInCell="1" allowOverlap="1" wp14:anchorId="737D7D19" wp14:editId="64278F5E">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D7D19" id="_x0000_t202" coordsize="21600,21600" o:spt="202" path="m,l,21600r21600,l21600,xe">
              <v:stroke joinstyle="miter"/>
              <v:path gradientshapeok="t" o:connecttype="rect"/>
            </v:shapetype>
            <v:shape id="Text Box 11" o:spid="_x0000_s1027"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dQgIAAHs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&#13;&#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1FD12C" w:rsidR="00733BAD" w:rsidRPr="00733BAD" w:rsidRDefault="001235C9"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5648" behindDoc="1" locked="0" layoutInCell="1" allowOverlap="1" wp14:anchorId="7E02E351" wp14:editId="5F7284F0">
              <wp:simplePos x="0" y="0"/>
              <wp:positionH relativeFrom="column">
                <wp:posOffset>3898900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2E351" id="_x0000_t202" coordsize="21600,21600" o:spt="202" path="m,l,21600r21600,l21600,xe">
              <v:stroke joinstyle="miter"/>
              <v:path gradientshapeok="t" o:connecttype="rect"/>
            </v:shapetype>
            <v:shape id="Text Box 13" o:spid="_x0000_s1028" type="#_x0000_t202" style="position:absolute;left:0;text-align:left;margin-left:307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FyIRQIAAII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&#13;&#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886C44" w:rsidRPr="00886C44">
      <w:rPr>
        <w:noProof/>
      </w:rPr>
      <mc:AlternateContent>
        <mc:Choice Requires="wps">
          <w:drawing>
            <wp:anchor distT="0" distB="0" distL="114300" distR="114300" simplePos="0" relativeHeight="251676672" behindDoc="0" locked="0" layoutInCell="1" allowOverlap="1" wp14:anchorId="19F58B09" wp14:editId="3EA880B1">
              <wp:simplePos x="0" y="0"/>
              <wp:positionH relativeFrom="column">
                <wp:posOffset>-241300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58B09" id="Text Box 10" o:spid="_x0000_s1029" type="#_x0000_t202" style="position:absolute;left:0;text-align:left;margin-left:-19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" filled="f" stroked="f" strokeweight=".5pt">
              <v:textbo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73BDB" w14:textId="77777777" w:rsidR="00650A6E" w:rsidRDefault="00650A6E" w:rsidP="000D72AE">
      <w:r>
        <w:separator/>
      </w:r>
    </w:p>
  </w:footnote>
  <w:footnote w:type="continuationSeparator" w:id="0">
    <w:p w14:paraId="2EA90E39" w14:textId="77777777" w:rsidR="00650A6E" w:rsidRDefault="00650A6E"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99DB38A" w:rsidR="00DF465E" w:rsidRPr="00671722" w:rsidRDefault="00D130D7" w:rsidP="00C825A5">
    <w:pPr>
      <w:pStyle w:val="Eyebrow"/>
      <w:spacing w:before="360"/>
    </w:pPr>
    <w:r w:rsidRPr="00783419">
      <w:rPr>
        <w:noProof/>
      </w:rPr>
      <w:drawing>
        <wp:anchor distT="0" distB="0" distL="114300" distR="114300" simplePos="0" relativeHeight="251685888" behindDoc="1" locked="0" layoutInCell="1" allowOverlap="1" wp14:anchorId="56C9E5D4" wp14:editId="2B1C4368">
          <wp:simplePos x="0" y="0"/>
          <wp:positionH relativeFrom="column">
            <wp:posOffset>5075555</wp:posOffset>
          </wp:positionH>
          <wp:positionV relativeFrom="paragraph">
            <wp:posOffset>-86360</wp:posOffset>
          </wp:positionV>
          <wp:extent cx="871788" cy="179070"/>
          <wp:effectExtent l="0" t="0" r="508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4334C0" w:rsidRPr="00783419">
      <w:rPr>
        <w:noProof/>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F9GtrLkAAAADgEAAA8AAAAAAAAAAAAAAAAAQgQAAGRycy9k&#13;&#10;b3ducmV2LnhtbFBLBQYAAAAABAAEAPMAAABTBQAAAAA=&#13;&#10;" strokecolor="gray [1629]"/>
          </w:pict>
        </mc:Fallback>
      </mc:AlternateContent>
    </w:r>
    <w:r w:rsidR="00926F57" w:rsidRPr="00783419">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F345B79" w:rsidR="00FE4740" w:rsidRPr="00FE4740" w:rsidRDefault="00DF690D" w:rsidP="00C825A5">
    <w:pPr>
      <w:pStyle w:val="Eyebrow"/>
      <w:rPr>
        <w:sz w:val="24"/>
        <w:szCs w:val="24"/>
      </w:rPr>
    </w:pPr>
    <w:r>
      <w:rPr>
        <w:noProof/>
      </w:rPr>
      <w:drawing>
        <wp:anchor distT="0" distB="0" distL="114300" distR="114300" simplePos="0" relativeHeight="251683840" behindDoc="1" locked="0" layoutInCell="1" allowOverlap="1" wp14:anchorId="68A26860" wp14:editId="4CE63830">
          <wp:simplePos x="0" y="0"/>
          <wp:positionH relativeFrom="column">
            <wp:posOffset>5075555</wp:posOffset>
          </wp:positionH>
          <wp:positionV relativeFrom="paragraph">
            <wp:posOffset>-10160</wp:posOffset>
          </wp:positionV>
          <wp:extent cx="871788"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788"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76A61788">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w:t>
    </w:r>
    <w:r w:rsidR="00FE4740" w:rsidRPr="00C825A5">
      <w:t>orkshee</w:t>
    </w:r>
    <w:r w:rsidR="00FE4740" w:rsidRPr="00252560">
      <w:t>t</w:t>
    </w:r>
  </w:p>
  <w:p w14:paraId="1B1E2DE3" w14:textId="025CA2D0" w:rsidR="00FE4740" w:rsidRPr="00E86465" w:rsidRDefault="00DE05E2" w:rsidP="004A34C5">
    <w:pPr>
      <w:pStyle w:val="Heading1"/>
    </w:pPr>
    <w:r>
      <w:t>1984</w:t>
    </w:r>
    <w:r w:rsidR="00FE4740" w:rsidRPr="00E86465">
      <w:rPr>
        <w:rFonts w:ascii="Raleway ExtraBold" w:hAnsi="Raleway ExtraBold"/>
      </w:rPr>
      <w:t xml:space="preserve"> </w:t>
    </w:r>
    <w:r w:rsidR="00E13E81" w:rsidRPr="00E13E81">
      <w:rPr>
        <w:rFonts w:ascii="Raleway ExtraLight" w:hAnsi="Raleway ExtraLight"/>
        <w:b w:val="0"/>
        <w:bCs w:val="0"/>
      </w:rPr>
      <w:t>Symbolism</w:t>
    </w:r>
  </w:p>
  <w:p w14:paraId="63ACB41A" w14:textId="0550ABC3" w:rsidR="00E8267D" w:rsidRPr="00FE4740" w:rsidRDefault="00E8267D"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7A36911E">
              <wp:simplePos x="0" y="0"/>
              <wp:positionH relativeFrom="column">
                <wp:posOffset>-152400</wp:posOffset>
              </wp:positionH>
              <wp:positionV relativeFrom="paragraph">
                <wp:posOffset>163830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94DBB"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2.9pt" to="470pt,1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Cf4nweQAAAAOAQAADwAAAAAAAAAAAAAAAABBBAAAZHJzL2Rv&#13;&#10;d25yZXYueG1sUEsFBgAAAAAEAAQA8wAAAFIFAAAAAA==&#13;&#10;" strokecolor="gray [1629]"/>
          </w:pict>
        </mc:Fallback>
      </mc:AlternateContent>
    </w:r>
  </w:p>
  <w:p w14:paraId="5FA8AACB" w14:textId="77777777" w:rsidR="00FE4740" w:rsidRDefault="00FE4740" w:rsidP="000D7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06D72"/>
    <w:rsid w:val="00012EE1"/>
    <w:rsid w:val="0003029F"/>
    <w:rsid w:val="000451A8"/>
    <w:rsid w:val="000505AA"/>
    <w:rsid w:val="00060B61"/>
    <w:rsid w:val="00060B69"/>
    <w:rsid w:val="000765CE"/>
    <w:rsid w:val="0007773C"/>
    <w:rsid w:val="00082449"/>
    <w:rsid w:val="000862A3"/>
    <w:rsid w:val="00090C98"/>
    <w:rsid w:val="00092C73"/>
    <w:rsid w:val="000972BE"/>
    <w:rsid w:val="000A78B1"/>
    <w:rsid w:val="000B09C6"/>
    <w:rsid w:val="000B2D45"/>
    <w:rsid w:val="000C46CC"/>
    <w:rsid w:val="000C5073"/>
    <w:rsid w:val="000C5148"/>
    <w:rsid w:val="000D72AE"/>
    <w:rsid w:val="00100358"/>
    <w:rsid w:val="001160E9"/>
    <w:rsid w:val="001235C9"/>
    <w:rsid w:val="00132898"/>
    <w:rsid w:val="00137040"/>
    <w:rsid w:val="001523BB"/>
    <w:rsid w:val="00154F6D"/>
    <w:rsid w:val="00164AF8"/>
    <w:rsid w:val="00174C8C"/>
    <w:rsid w:val="00185466"/>
    <w:rsid w:val="0018585F"/>
    <w:rsid w:val="001917A4"/>
    <w:rsid w:val="001A0D75"/>
    <w:rsid w:val="001A1463"/>
    <w:rsid w:val="001A2946"/>
    <w:rsid w:val="001A6B1F"/>
    <w:rsid w:val="001B4668"/>
    <w:rsid w:val="001C6199"/>
    <w:rsid w:val="001D6F1D"/>
    <w:rsid w:val="001D74CC"/>
    <w:rsid w:val="001E2654"/>
    <w:rsid w:val="001E6B47"/>
    <w:rsid w:val="001E7BE6"/>
    <w:rsid w:val="001F5B66"/>
    <w:rsid w:val="00212E17"/>
    <w:rsid w:val="00213DEE"/>
    <w:rsid w:val="00227DC0"/>
    <w:rsid w:val="00230256"/>
    <w:rsid w:val="002307CF"/>
    <w:rsid w:val="002308CB"/>
    <w:rsid w:val="00245385"/>
    <w:rsid w:val="00252560"/>
    <w:rsid w:val="002573B1"/>
    <w:rsid w:val="002607EE"/>
    <w:rsid w:val="00260847"/>
    <w:rsid w:val="00262826"/>
    <w:rsid w:val="002634E9"/>
    <w:rsid w:val="0026477C"/>
    <w:rsid w:val="002660BD"/>
    <w:rsid w:val="002723E1"/>
    <w:rsid w:val="00273695"/>
    <w:rsid w:val="00274B3C"/>
    <w:rsid w:val="00281B50"/>
    <w:rsid w:val="00284C51"/>
    <w:rsid w:val="00290A1E"/>
    <w:rsid w:val="002919CE"/>
    <w:rsid w:val="00292C1E"/>
    <w:rsid w:val="00293E7B"/>
    <w:rsid w:val="002C7F85"/>
    <w:rsid w:val="002D1958"/>
    <w:rsid w:val="002E69FF"/>
    <w:rsid w:val="002F6098"/>
    <w:rsid w:val="00300B9C"/>
    <w:rsid w:val="00306A5F"/>
    <w:rsid w:val="00326287"/>
    <w:rsid w:val="00337875"/>
    <w:rsid w:val="0034462B"/>
    <w:rsid w:val="00351C17"/>
    <w:rsid w:val="00360BDE"/>
    <w:rsid w:val="0037122C"/>
    <w:rsid w:val="00372EA2"/>
    <w:rsid w:val="00376BA7"/>
    <w:rsid w:val="0038199A"/>
    <w:rsid w:val="00382B8F"/>
    <w:rsid w:val="00391E54"/>
    <w:rsid w:val="003932F8"/>
    <w:rsid w:val="00394949"/>
    <w:rsid w:val="00396981"/>
    <w:rsid w:val="003A2315"/>
    <w:rsid w:val="003A4D2C"/>
    <w:rsid w:val="003A6AD8"/>
    <w:rsid w:val="003C7A72"/>
    <w:rsid w:val="003D07E9"/>
    <w:rsid w:val="00406073"/>
    <w:rsid w:val="004072BE"/>
    <w:rsid w:val="00414DD7"/>
    <w:rsid w:val="004334C0"/>
    <w:rsid w:val="004376C1"/>
    <w:rsid w:val="004401A5"/>
    <w:rsid w:val="00441F48"/>
    <w:rsid w:val="0044379A"/>
    <w:rsid w:val="0044508B"/>
    <w:rsid w:val="00457D50"/>
    <w:rsid w:val="00472761"/>
    <w:rsid w:val="00477B46"/>
    <w:rsid w:val="004828E6"/>
    <w:rsid w:val="004916AE"/>
    <w:rsid w:val="00497295"/>
    <w:rsid w:val="004A10E8"/>
    <w:rsid w:val="004A34C5"/>
    <w:rsid w:val="004A451C"/>
    <w:rsid w:val="004D121F"/>
    <w:rsid w:val="004D2949"/>
    <w:rsid w:val="004D3F9A"/>
    <w:rsid w:val="004D418D"/>
    <w:rsid w:val="004D4CBB"/>
    <w:rsid w:val="004D59DB"/>
    <w:rsid w:val="004F5F4A"/>
    <w:rsid w:val="004F77FD"/>
    <w:rsid w:val="00524DB9"/>
    <w:rsid w:val="00533E31"/>
    <w:rsid w:val="0053484D"/>
    <w:rsid w:val="00535E4D"/>
    <w:rsid w:val="00541C35"/>
    <w:rsid w:val="00542941"/>
    <w:rsid w:val="00547D28"/>
    <w:rsid w:val="00550414"/>
    <w:rsid w:val="00553F97"/>
    <w:rsid w:val="00562869"/>
    <w:rsid w:val="00565258"/>
    <w:rsid w:val="0056596D"/>
    <w:rsid w:val="0057681E"/>
    <w:rsid w:val="00581007"/>
    <w:rsid w:val="00585928"/>
    <w:rsid w:val="005926CE"/>
    <w:rsid w:val="005A7D51"/>
    <w:rsid w:val="005B0A96"/>
    <w:rsid w:val="005C478D"/>
    <w:rsid w:val="005D57A3"/>
    <w:rsid w:val="005F072D"/>
    <w:rsid w:val="005F37E8"/>
    <w:rsid w:val="0060119E"/>
    <w:rsid w:val="006070C3"/>
    <w:rsid w:val="00607234"/>
    <w:rsid w:val="006136E9"/>
    <w:rsid w:val="006155A9"/>
    <w:rsid w:val="00624089"/>
    <w:rsid w:val="00630DFF"/>
    <w:rsid w:val="0064417D"/>
    <w:rsid w:val="00647160"/>
    <w:rsid w:val="00650A6E"/>
    <w:rsid w:val="006538B4"/>
    <w:rsid w:val="00671722"/>
    <w:rsid w:val="00671D77"/>
    <w:rsid w:val="00673F4F"/>
    <w:rsid w:val="00675B49"/>
    <w:rsid w:val="0068263A"/>
    <w:rsid w:val="006852BA"/>
    <w:rsid w:val="00690454"/>
    <w:rsid w:val="006A4C67"/>
    <w:rsid w:val="006D4EC4"/>
    <w:rsid w:val="006D5281"/>
    <w:rsid w:val="006E3455"/>
    <w:rsid w:val="006F03C0"/>
    <w:rsid w:val="006F0FAA"/>
    <w:rsid w:val="006F1C09"/>
    <w:rsid w:val="00705FA0"/>
    <w:rsid w:val="00710145"/>
    <w:rsid w:val="007133A4"/>
    <w:rsid w:val="007143ED"/>
    <w:rsid w:val="00721C9E"/>
    <w:rsid w:val="00722343"/>
    <w:rsid w:val="00733BAD"/>
    <w:rsid w:val="007424D8"/>
    <w:rsid w:val="007436BB"/>
    <w:rsid w:val="00747A7E"/>
    <w:rsid w:val="00751408"/>
    <w:rsid w:val="00753EE6"/>
    <w:rsid w:val="007559CF"/>
    <w:rsid w:val="00762B52"/>
    <w:rsid w:val="007630D9"/>
    <w:rsid w:val="007644A8"/>
    <w:rsid w:val="007669E3"/>
    <w:rsid w:val="00783419"/>
    <w:rsid w:val="00784499"/>
    <w:rsid w:val="00790517"/>
    <w:rsid w:val="007932B2"/>
    <w:rsid w:val="00793430"/>
    <w:rsid w:val="007B7152"/>
    <w:rsid w:val="007B7536"/>
    <w:rsid w:val="007C1918"/>
    <w:rsid w:val="007D34E5"/>
    <w:rsid w:val="007F3141"/>
    <w:rsid w:val="007F5093"/>
    <w:rsid w:val="007F5ADB"/>
    <w:rsid w:val="007F7F84"/>
    <w:rsid w:val="00800602"/>
    <w:rsid w:val="00803F60"/>
    <w:rsid w:val="00804729"/>
    <w:rsid w:val="00804C86"/>
    <w:rsid w:val="00812F6D"/>
    <w:rsid w:val="008174F7"/>
    <w:rsid w:val="008253B0"/>
    <w:rsid w:val="0084028A"/>
    <w:rsid w:val="00842F76"/>
    <w:rsid w:val="00843C7A"/>
    <w:rsid w:val="0084734B"/>
    <w:rsid w:val="00861AEB"/>
    <w:rsid w:val="008712C8"/>
    <w:rsid w:val="00872F52"/>
    <w:rsid w:val="0087352C"/>
    <w:rsid w:val="00874E75"/>
    <w:rsid w:val="0088471C"/>
    <w:rsid w:val="00886C44"/>
    <w:rsid w:val="00893C42"/>
    <w:rsid w:val="00893CEA"/>
    <w:rsid w:val="008A36AC"/>
    <w:rsid w:val="008C5BE7"/>
    <w:rsid w:val="008D5B6E"/>
    <w:rsid w:val="00903146"/>
    <w:rsid w:val="009048E1"/>
    <w:rsid w:val="00912F48"/>
    <w:rsid w:val="00914C9F"/>
    <w:rsid w:val="00926F57"/>
    <w:rsid w:val="009509DB"/>
    <w:rsid w:val="0096106F"/>
    <w:rsid w:val="00961642"/>
    <w:rsid w:val="009621C9"/>
    <w:rsid w:val="00981DF7"/>
    <w:rsid w:val="00990652"/>
    <w:rsid w:val="009A5F08"/>
    <w:rsid w:val="009B3C08"/>
    <w:rsid w:val="009C025D"/>
    <w:rsid w:val="009C08FF"/>
    <w:rsid w:val="009E0599"/>
    <w:rsid w:val="009E34FE"/>
    <w:rsid w:val="009E685A"/>
    <w:rsid w:val="009E6AA5"/>
    <w:rsid w:val="009F025E"/>
    <w:rsid w:val="00A059AB"/>
    <w:rsid w:val="00A05F39"/>
    <w:rsid w:val="00A25399"/>
    <w:rsid w:val="00A304BA"/>
    <w:rsid w:val="00A36526"/>
    <w:rsid w:val="00A42A60"/>
    <w:rsid w:val="00A55E57"/>
    <w:rsid w:val="00A567EE"/>
    <w:rsid w:val="00A95016"/>
    <w:rsid w:val="00AA24EB"/>
    <w:rsid w:val="00AA3B54"/>
    <w:rsid w:val="00AA60D0"/>
    <w:rsid w:val="00AD274E"/>
    <w:rsid w:val="00AD4075"/>
    <w:rsid w:val="00AD7667"/>
    <w:rsid w:val="00B026DD"/>
    <w:rsid w:val="00B048C7"/>
    <w:rsid w:val="00B1127C"/>
    <w:rsid w:val="00B26336"/>
    <w:rsid w:val="00B362ED"/>
    <w:rsid w:val="00B471E5"/>
    <w:rsid w:val="00B529AF"/>
    <w:rsid w:val="00B621DE"/>
    <w:rsid w:val="00B67A1E"/>
    <w:rsid w:val="00B73045"/>
    <w:rsid w:val="00B73783"/>
    <w:rsid w:val="00B759C4"/>
    <w:rsid w:val="00B82CFD"/>
    <w:rsid w:val="00B87872"/>
    <w:rsid w:val="00BB63CB"/>
    <w:rsid w:val="00BD0B08"/>
    <w:rsid w:val="00BD1856"/>
    <w:rsid w:val="00BD5B6B"/>
    <w:rsid w:val="00BD6FA2"/>
    <w:rsid w:val="00BE157F"/>
    <w:rsid w:val="00BE21A4"/>
    <w:rsid w:val="00BE4E44"/>
    <w:rsid w:val="00BF1B6E"/>
    <w:rsid w:val="00BF275D"/>
    <w:rsid w:val="00BF42E4"/>
    <w:rsid w:val="00BF7860"/>
    <w:rsid w:val="00C02318"/>
    <w:rsid w:val="00C11977"/>
    <w:rsid w:val="00C15715"/>
    <w:rsid w:val="00C407E9"/>
    <w:rsid w:val="00C507AB"/>
    <w:rsid w:val="00C613D8"/>
    <w:rsid w:val="00C81480"/>
    <w:rsid w:val="00C825A5"/>
    <w:rsid w:val="00C8353A"/>
    <w:rsid w:val="00C84B19"/>
    <w:rsid w:val="00C85AAD"/>
    <w:rsid w:val="00C968FA"/>
    <w:rsid w:val="00CA1345"/>
    <w:rsid w:val="00CC3EA7"/>
    <w:rsid w:val="00CD7197"/>
    <w:rsid w:val="00CF1031"/>
    <w:rsid w:val="00CF203B"/>
    <w:rsid w:val="00CF2DA7"/>
    <w:rsid w:val="00D03C7F"/>
    <w:rsid w:val="00D130D7"/>
    <w:rsid w:val="00D146EB"/>
    <w:rsid w:val="00D16CE2"/>
    <w:rsid w:val="00D20F89"/>
    <w:rsid w:val="00D21E23"/>
    <w:rsid w:val="00D460CB"/>
    <w:rsid w:val="00D47AAA"/>
    <w:rsid w:val="00D5328B"/>
    <w:rsid w:val="00D61DA7"/>
    <w:rsid w:val="00D65EE9"/>
    <w:rsid w:val="00D67C8F"/>
    <w:rsid w:val="00D70A37"/>
    <w:rsid w:val="00D75021"/>
    <w:rsid w:val="00D759FC"/>
    <w:rsid w:val="00D91882"/>
    <w:rsid w:val="00D96C39"/>
    <w:rsid w:val="00DA1F36"/>
    <w:rsid w:val="00DB0038"/>
    <w:rsid w:val="00DB5010"/>
    <w:rsid w:val="00DC582E"/>
    <w:rsid w:val="00DE0112"/>
    <w:rsid w:val="00DE05E2"/>
    <w:rsid w:val="00DE2AD3"/>
    <w:rsid w:val="00DF465E"/>
    <w:rsid w:val="00DF690D"/>
    <w:rsid w:val="00E008A5"/>
    <w:rsid w:val="00E13E81"/>
    <w:rsid w:val="00E1565C"/>
    <w:rsid w:val="00E21F44"/>
    <w:rsid w:val="00E2377C"/>
    <w:rsid w:val="00E270EC"/>
    <w:rsid w:val="00E45C3F"/>
    <w:rsid w:val="00E7012D"/>
    <w:rsid w:val="00E71A52"/>
    <w:rsid w:val="00E806E1"/>
    <w:rsid w:val="00E8267D"/>
    <w:rsid w:val="00E86465"/>
    <w:rsid w:val="00EA797A"/>
    <w:rsid w:val="00EC3911"/>
    <w:rsid w:val="00EC4205"/>
    <w:rsid w:val="00ED0475"/>
    <w:rsid w:val="00EE5266"/>
    <w:rsid w:val="00EF059E"/>
    <w:rsid w:val="00EF23AB"/>
    <w:rsid w:val="00F018B8"/>
    <w:rsid w:val="00F041B4"/>
    <w:rsid w:val="00F10D19"/>
    <w:rsid w:val="00F10F62"/>
    <w:rsid w:val="00F14DE8"/>
    <w:rsid w:val="00F1735E"/>
    <w:rsid w:val="00F21E32"/>
    <w:rsid w:val="00F32FC9"/>
    <w:rsid w:val="00F5254D"/>
    <w:rsid w:val="00F539DD"/>
    <w:rsid w:val="00F54104"/>
    <w:rsid w:val="00F634CC"/>
    <w:rsid w:val="00F7088C"/>
    <w:rsid w:val="00F91610"/>
    <w:rsid w:val="00FA4E87"/>
    <w:rsid w:val="00FA606A"/>
    <w:rsid w:val="00FB705F"/>
    <w:rsid w:val="00FC1D12"/>
    <w:rsid w:val="00FC33C0"/>
    <w:rsid w:val="00FD2517"/>
    <w:rsid w:val="00FE1201"/>
    <w:rsid w:val="00FE320F"/>
    <w:rsid w:val="00FE4740"/>
    <w:rsid w:val="00FF5E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2607EE"/>
    <w:pPr>
      <w:keepNext/>
      <w:keepLines/>
      <w:tabs>
        <w:tab w:val="left" w:pos="8300"/>
      </w:tabs>
      <w:spacing w:after="0" w:line="240" w:lineRule="auto"/>
      <w:ind w:left="-540"/>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2607EE"/>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44379A"/>
    <w:pPr>
      <w:framePr w:hSpace="1728" w:wrap="around" w:vAnchor="text" w:hAnchor="text" w:x="-160" w:y="325"/>
      <w:spacing w:before="120"/>
      <w:ind w:right="350"/>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C825A5"/>
    <w:pPr>
      <w:spacing w:before="60" w:after="80"/>
      <w:ind w:left="81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100358"/>
    <w:pPr>
      <w:spacing w:after="120"/>
      <w:ind w:left="0"/>
    </w:pPr>
    <w:rPr>
      <w:sz w:val="15"/>
      <w:szCs w:val="15"/>
    </w:rPr>
  </w:style>
  <w:style w:type="paragraph" w:customStyle="1" w:styleId="Answerkey">
    <w:name w:val="Answer key"/>
    <w:basedOn w:val="ChartText"/>
    <w:qFormat/>
    <w:rsid w:val="007B7152"/>
    <w:rPr>
      <w:color w:val="C936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5097D1-7F28-4E2D-9E57-5F0B5C2FE32B}"/>
</file>

<file path=customXml/itemProps2.xml><?xml version="1.0" encoding="utf-8"?>
<ds:datastoreItem xmlns:ds="http://schemas.openxmlformats.org/officeDocument/2006/customXml" ds:itemID="{789E826F-713D-4DFF-9DDA-01641B0725D3}"/>
</file>

<file path=customXml/itemProps3.xml><?xml version="1.0" encoding="utf-8"?>
<ds:datastoreItem xmlns:ds="http://schemas.openxmlformats.org/officeDocument/2006/customXml" ds:itemID="{32A4F379-F9A7-4ABC-AC39-71A5FA8C8EA0}"/>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3</cp:revision>
  <cp:lastPrinted>2019-08-26T21:49:00Z</cp:lastPrinted>
  <dcterms:created xsi:type="dcterms:W3CDTF">2019-08-26T21:49:00Z</dcterms:created>
  <dcterms:modified xsi:type="dcterms:W3CDTF">2019-08-26T21:51:00Z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